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51B4" w14:textId="77777777" w:rsidR="001211A8" w:rsidRDefault="00476278">
      <w:pPr>
        <w:pStyle w:val="Body"/>
        <w:ind w:right="26"/>
        <w:rPr>
          <w:rStyle w:val="st1"/>
          <w:rFonts w:ascii="Arial" w:eastAsia="Arial" w:hAnsi="Arial" w:cs="Arial"/>
          <w:sz w:val="40"/>
          <w:szCs w:val="40"/>
        </w:rPr>
      </w:pPr>
      <w:r>
        <w:rPr>
          <w:rStyle w:val="st1"/>
          <w:rFonts w:ascii="Arial" w:hAnsi="Arial"/>
          <w:sz w:val="40"/>
          <w:szCs w:val="40"/>
          <w:lang w:val="de-DE"/>
        </w:rPr>
        <w:t>Anne Sofie von Otter</w:t>
      </w:r>
    </w:p>
    <w:p w14:paraId="4B7D3D4F" w14:textId="77777777" w:rsidR="001211A8" w:rsidRDefault="00476278">
      <w:pPr>
        <w:pStyle w:val="Body"/>
        <w:ind w:right="26"/>
        <w:rPr>
          <w:rStyle w:val="st1"/>
          <w:rFonts w:ascii="Arial" w:eastAsia="Arial" w:hAnsi="Arial" w:cs="Arial"/>
          <w:sz w:val="34"/>
          <w:szCs w:val="34"/>
        </w:rPr>
      </w:pPr>
      <w:bookmarkStart w:id="0" w:name="OLE_LINK1"/>
      <w:r>
        <w:rPr>
          <w:rStyle w:val="st1"/>
          <w:rFonts w:ascii="Arial" w:hAnsi="Arial"/>
          <w:sz w:val="34"/>
          <w:szCs w:val="34"/>
          <w:lang w:val="it-IT"/>
        </w:rPr>
        <w:t>Mezzo-Soprano</w:t>
      </w:r>
    </w:p>
    <w:p w14:paraId="1EA5CE27" w14:textId="77777777" w:rsidR="001211A8" w:rsidRPr="00426FDC" w:rsidRDefault="001211A8">
      <w:pPr>
        <w:pStyle w:val="Body"/>
        <w:rPr>
          <w:rFonts w:ascii="Arial" w:hAnsi="Arial" w:cs="Arial"/>
          <w:color w:val="auto"/>
          <w:sz w:val="20"/>
          <w:szCs w:val="20"/>
        </w:rPr>
      </w:pPr>
    </w:p>
    <w:bookmarkEnd w:id="0"/>
    <w:p w14:paraId="557F7BB7" w14:textId="77777777" w:rsidR="00196013" w:rsidRPr="00196013" w:rsidRDefault="00196013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Boasting an unrivalled and multi award-winning discography, mezzo-soprano Anne Sofie von Otter’s versatility has seen her work with legendary artists ranging from the late greats of Carlos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Kleiber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, Claudio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Abbado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and Giuseppe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Sinopoli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to Elvis Costello, Brad Mehldau and Rufus Wainwright.  </w:t>
      </w:r>
    </w:p>
    <w:p w14:paraId="16BA007D" w14:textId="77777777" w:rsidR="00196013" w:rsidRPr="00196013" w:rsidRDefault="00196013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</w:t>
      </w:r>
    </w:p>
    <w:p w14:paraId="78B16930" w14:textId="77777777" w:rsidR="00196013" w:rsidRPr="00196013" w:rsidRDefault="00196013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An ever-evolving repertoire has played a key role in sustaining Swedish-born von Otter's international profile, from an early position as the superlative Octavian (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Der Rosenkavalier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) of her generation, giving performances around the world, to her acclaimed creation of Leonora in the world premiere of Thomas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Adès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’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The Exterminating Angel 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at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Salzburger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Festspiele and the Royal Opera House, Covent Garden. Recent highlights include Madame de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Croissy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(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Dialogues des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Carmélites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) at Théâtre des Champs-Élysées,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Marcellina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(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Le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nozze</w:t>
      </w:r>
      <w:proofErr w:type="spellEnd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 di Figaro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) in Christof Loy’s production at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Bayerische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Staatsoper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, 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L’Opinion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Publique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(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Orphée</w:t>
      </w:r>
      <w:proofErr w:type="spellEnd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 aux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Enfers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) at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Salzburger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Festspiele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 in Barrie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Kosky’s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staging,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Mérope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(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Oedipe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) at Opéra National de Paris, and the leading role of Charlotte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Andergast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in the world premiere of Sebastian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Fagerlund’s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Höstsonaten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 for Finnish National Opera. Adding further to an impressive catalogue, recent seasons have seen role debuts as the </w:t>
      </w:r>
      <w:proofErr w:type="gram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Countess</w:t>
      </w:r>
      <w:proofErr w:type="gram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(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Pique Dame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) at La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Monnaie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under Nathalie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Stutzmann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, Adelaide (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Arabella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) at Teatro Real under David Afkham and, last season, she brought to life the role of Gaby in the world premiere of Mikael Karlsson’s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Melancholia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at Royal Swedish Opera.</w:t>
      </w:r>
    </w:p>
    <w:p w14:paraId="491D55F7" w14:textId="77777777" w:rsidR="00196013" w:rsidRPr="00196013" w:rsidRDefault="00196013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</w:t>
      </w:r>
    </w:p>
    <w:p w14:paraId="0577C491" w14:textId="77777777" w:rsidR="00196013" w:rsidRPr="00196013" w:rsidRDefault="00196013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Equally recognised as a concert and recital singer of exceptional gifts, von Otter’s career has taken her around the globe as a regular presence on the world’s most important stages excelling in a diverse repertoire including works by Mahler, Berlioz, Bach and Kurt Weill, and her expansive Lieder recordings range from classics by Schubert, Schumann, Wolf and Mahler, through lesser-known compilations from Cécile Chaminade, Korngold, Peterson-Bergen and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Stenhammar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.</w:t>
      </w:r>
    </w:p>
    <w:p w14:paraId="5EBCAE5D" w14:textId="77777777" w:rsidR="00196013" w:rsidRPr="00196013" w:rsidRDefault="00196013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</w:t>
      </w:r>
    </w:p>
    <w:p w14:paraId="077A0EC3" w14:textId="2D528380" w:rsidR="00196013" w:rsidRPr="00196013" w:rsidRDefault="00196013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Anne Sofie von Otter’s 2024/25 season opens with performances of Mikael Karlsson’s song cycle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And so we will vanish 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with Danish National Symphony Orchestra and with Swedish Radio Symphony Orchestra both conducted by Jukka-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Pekka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Saraste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.  She creates the role of Justine in Karlsson’s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Fanny and Alexander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 which sees </w:t>
      </w:r>
      <w:r w:rsidR="00860A70"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its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world premiere at La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Monnaie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in a staging by Ivo van Hove and conducted by Ariane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Matiakh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, appears in the world premiere of Philippe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Manoury’s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new work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Die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letzten</w:t>
      </w:r>
      <w:proofErr w:type="spellEnd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Tage</w:t>
      </w:r>
      <w:proofErr w:type="spellEnd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 den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Menschheit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 at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Oper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Köln and sings the role of Mrs Sedley in Christof Loy’s setting of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Peter Grimes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at Opéra de Lyon conducted by Wayne Marshall.  </w:t>
      </w:r>
    </w:p>
    <w:p w14:paraId="709514AC" w14:textId="77777777" w:rsidR="00196013" w:rsidRPr="00196013" w:rsidRDefault="00196013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</w:t>
      </w:r>
    </w:p>
    <w:p w14:paraId="2246EF6A" w14:textId="77777777" w:rsidR="00196013" w:rsidRPr="00196013" w:rsidRDefault="00196013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Anne Sofie von Otter is one of today's most recorded artists with an incomparable catalogue built across a career now spanning more than four decades at the top of her profession. A lengthy and exclusive relationship with Deutsche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Grammophon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produced a wealth of acclaimed recordings including the Grammy-winning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Mahler: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Des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Knaben</w:t>
      </w:r>
      <w:proofErr w:type="spellEnd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Wunderhorn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 with Claudio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Abbado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, Handel’s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Ariodante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,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Giulio Cesare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and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Hercules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with Marc Minkowski and a collaboration with pop legend Elvis Costello on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For the Stars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. On Naïve Classique, her double CD of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Mélodies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and Chansons, 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Douce</w:t>
      </w:r>
      <w:proofErr w:type="spellEnd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 France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, received the 2015 Grammy Award for Best Classical Solo Vocal Album. von Otter immortalized many of her operatic characters on disc: Octavian with Bernard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Haitink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and the 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Staatskapelle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Dresden and on DVD with Wiener Staatsoper under Carlos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Kleiber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; </w:t>
      </w:r>
      <w:proofErr w:type="spellStart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Cherubino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(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Le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nozze</w:t>
      </w:r>
      <w:proofErr w:type="spellEnd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 di Figaro)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under James Levine;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 xml:space="preserve">La </w:t>
      </w:r>
      <w:proofErr w:type="spellStart"/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clemenza</w:t>
      </w:r>
      <w:proofErr w:type="spellEnd"/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di Tito 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and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Orfeo ed Euridice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under Sir John Eliot Gardiner; and </w:t>
      </w:r>
      <w:r w:rsidRPr="0019601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en-GB" w:eastAsia="en-GB"/>
        </w:rPr>
        <w:t>Ariadne auf Naxos</w:t>
      </w:r>
      <w:r w:rsidRPr="0019601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 under Giuseppe Sinopoli.</w:t>
      </w:r>
    </w:p>
    <w:p w14:paraId="27E8BA56" w14:textId="3B981C39" w:rsidR="001211A8" w:rsidRPr="00421DDB" w:rsidRDefault="001211A8" w:rsidP="00196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/>
          <w:lang w:val="en-GB" w:eastAsia="en-GB"/>
        </w:rPr>
      </w:pPr>
    </w:p>
    <w:sectPr w:rsidR="001211A8" w:rsidRPr="00421DDB">
      <w:headerReference w:type="default" r:id="rId8"/>
      <w:footerReference w:type="default" r:id="rId9"/>
      <w:pgSz w:w="11900" w:h="16840"/>
      <w:pgMar w:top="2379" w:right="1800" w:bottom="993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8E3B" w14:textId="77777777" w:rsidR="004B2A43" w:rsidRDefault="004B2A43">
      <w:r>
        <w:separator/>
      </w:r>
    </w:p>
  </w:endnote>
  <w:endnote w:type="continuationSeparator" w:id="0">
    <w:p w14:paraId="617EE22D" w14:textId="77777777" w:rsidR="004B2A43" w:rsidRDefault="004B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41FC" w14:textId="1027822C" w:rsidR="001211A8" w:rsidRDefault="003C73BE">
    <w:pPr>
      <w:pStyle w:val="Body"/>
      <w:ind w:right="26"/>
    </w:pPr>
    <w:r>
      <w:rPr>
        <w:rStyle w:val="st1"/>
        <w:rFonts w:ascii="Arial" w:hAnsi="Arial"/>
        <w:sz w:val="20"/>
        <w:szCs w:val="20"/>
      </w:rPr>
      <w:t>20</w:t>
    </w:r>
    <w:r w:rsidR="00AD0158">
      <w:rPr>
        <w:rStyle w:val="st1"/>
        <w:rFonts w:ascii="Arial" w:hAnsi="Arial"/>
        <w:sz w:val="20"/>
        <w:szCs w:val="20"/>
      </w:rPr>
      <w:t>2</w:t>
    </w:r>
    <w:r w:rsidR="00196013">
      <w:rPr>
        <w:rStyle w:val="st1"/>
        <w:rFonts w:ascii="Arial" w:hAnsi="Arial"/>
        <w:sz w:val="20"/>
        <w:szCs w:val="20"/>
      </w:rPr>
      <w:t>4/25</w:t>
    </w:r>
    <w:r w:rsidR="00476278">
      <w:rPr>
        <w:rStyle w:val="st1"/>
        <w:rFonts w:ascii="Arial" w:hAnsi="Arial"/>
        <w:sz w:val="20"/>
        <w:szCs w:val="20"/>
      </w:rPr>
      <w:t xml:space="preserve"> season only. Please contact </w:t>
    </w:r>
    <w:proofErr w:type="spellStart"/>
    <w:r w:rsidR="00476278">
      <w:rPr>
        <w:rStyle w:val="st1"/>
        <w:rFonts w:ascii="Arial" w:hAnsi="Arial"/>
        <w:sz w:val="20"/>
        <w:szCs w:val="20"/>
      </w:rPr>
      <w:t>HarrisonParrott</w:t>
    </w:r>
    <w:proofErr w:type="spellEnd"/>
    <w:r w:rsidR="00476278">
      <w:rPr>
        <w:rStyle w:val="st1"/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A5C4" w14:textId="77777777" w:rsidR="004B2A43" w:rsidRDefault="004B2A43">
      <w:r>
        <w:separator/>
      </w:r>
    </w:p>
  </w:footnote>
  <w:footnote w:type="continuationSeparator" w:id="0">
    <w:p w14:paraId="10B9690C" w14:textId="77777777" w:rsidR="004B2A43" w:rsidRDefault="004B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5C8D" w14:textId="31E9C330" w:rsidR="001211A8" w:rsidRDefault="00426FDC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1693A79" wp14:editId="26EB74BA">
          <wp:simplePos x="0" y="0"/>
          <wp:positionH relativeFrom="page">
            <wp:posOffset>2877820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" name="officeArt object" descr="Description: 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Description: 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D0F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3214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A8"/>
    <w:rsid w:val="00004BA2"/>
    <w:rsid w:val="00004FDB"/>
    <w:rsid w:val="00011BDA"/>
    <w:rsid w:val="00042D0D"/>
    <w:rsid w:val="000529BF"/>
    <w:rsid w:val="000952D5"/>
    <w:rsid w:val="000A2657"/>
    <w:rsid w:val="000D5CFC"/>
    <w:rsid w:val="000F59A2"/>
    <w:rsid w:val="000F7A21"/>
    <w:rsid w:val="0010641E"/>
    <w:rsid w:val="00117030"/>
    <w:rsid w:val="001211A8"/>
    <w:rsid w:val="00136A67"/>
    <w:rsid w:val="001425C7"/>
    <w:rsid w:val="00143BF2"/>
    <w:rsid w:val="00155A61"/>
    <w:rsid w:val="0018664B"/>
    <w:rsid w:val="00190BA2"/>
    <w:rsid w:val="00196013"/>
    <w:rsid w:val="001D6B8F"/>
    <w:rsid w:val="002230BC"/>
    <w:rsid w:val="00244E6F"/>
    <w:rsid w:val="00247A38"/>
    <w:rsid w:val="0025125E"/>
    <w:rsid w:val="00255B1A"/>
    <w:rsid w:val="002921A0"/>
    <w:rsid w:val="0029707C"/>
    <w:rsid w:val="002B7240"/>
    <w:rsid w:val="002F4CDE"/>
    <w:rsid w:val="00313893"/>
    <w:rsid w:val="003154FD"/>
    <w:rsid w:val="0032567B"/>
    <w:rsid w:val="00347BA8"/>
    <w:rsid w:val="00350E69"/>
    <w:rsid w:val="003C4D89"/>
    <w:rsid w:val="003C56FD"/>
    <w:rsid w:val="003C73BE"/>
    <w:rsid w:val="003F0389"/>
    <w:rsid w:val="00401E0E"/>
    <w:rsid w:val="0041514D"/>
    <w:rsid w:val="00421DDB"/>
    <w:rsid w:val="00426FDC"/>
    <w:rsid w:val="00430121"/>
    <w:rsid w:val="00430881"/>
    <w:rsid w:val="00440C6F"/>
    <w:rsid w:val="004474A8"/>
    <w:rsid w:val="00456174"/>
    <w:rsid w:val="00465CFE"/>
    <w:rsid w:val="0047453F"/>
    <w:rsid w:val="00476278"/>
    <w:rsid w:val="00480550"/>
    <w:rsid w:val="00492EBE"/>
    <w:rsid w:val="004B2A43"/>
    <w:rsid w:val="004B3D64"/>
    <w:rsid w:val="004D118C"/>
    <w:rsid w:val="004D6A72"/>
    <w:rsid w:val="004E0880"/>
    <w:rsid w:val="00502367"/>
    <w:rsid w:val="00502E92"/>
    <w:rsid w:val="00543D23"/>
    <w:rsid w:val="00574CC5"/>
    <w:rsid w:val="005975C9"/>
    <w:rsid w:val="005B672C"/>
    <w:rsid w:val="005C1B22"/>
    <w:rsid w:val="005D7793"/>
    <w:rsid w:val="00614926"/>
    <w:rsid w:val="00655110"/>
    <w:rsid w:val="0066420E"/>
    <w:rsid w:val="00673119"/>
    <w:rsid w:val="006749AF"/>
    <w:rsid w:val="006C6E99"/>
    <w:rsid w:val="006D4C87"/>
    <w:rsid w:val="006F1F37"/>
    <w:rsid w:val="006F738E"/>
    <w:rsid w:val="007048DA"/>
    <w:rsid w:val="00714704"/>
    <w:rsid w:val="00724B32"/>
    <w:rsid w:val="00750391"/>
    <w:rsid w:val="007528A2"/>
    <w:rsid w:val="007635ED"/>
    <w:rsid w:val="007A0CC6"/>
    <w:rsid w:val="007A2CE6"/>
    <w:rsid w:val="007B33C2"/>
    <w:rsid w:val="007E6600"/>
    <w:rsid w:val="00805301"/>
    <w:rsid w:val="008127C7"/>
    <w:rsid w:val="00860A70"/>
    <w:rsid w:val="00867FB9"/>
    <w:rsid w:val="008752A7"/>
    <w:rsid w:val="008773B3"/>
    <w:rsid w:val="00877F88"/>
    <w:rsid w:val="0089006B"/>
    <w:rsid w:val="008A7EF7"/>
    <w:rsid w:val="00904CC2"/>
    <w:rsid w:val="00934609"/>
    <w:rsid w:val="009433EA"/>
    <w:rsid w:val="009656B0"/>
    <w:rsid w:val="009701EE"/>
    <w:rsid w:val="00991DE0"/>
    <w:rsid w:val="009B6B6D"/>
    <w:rsid w:val="009B6B73"/>
    <w:rsid w:val="009C0014"/>
    <w:rsid w:val="009C2C70"/>
    <w:rsid w:val="009E454F"/>
    <w:rsid w:val="009E75DD"/>
    <w:rsid w:val="00A21138"/>
    <w:rsid w:val="00A224B1"/>
    <w:rsid w:val="00A31DBF"/>
    <w:rsid w:val="00A37957"/>
    <w:rsid w:val="00A440EB"/>
    <w:rsid w:val="00A54CF1"/>
    <w:rsid w:val="00A613C8"/>
    <w:rsid w:val="00A7108A"/>
    <w:rsid w:val="00AB24BD"/>
    <w:rsid w:val="00AB4C3F"/>
    <w:rsid w:val="00AD0158"/>
    <w:rsid w:val="00AD6C31"/>
    <w:rsid w:val="00AF1995"/>
    <w:rsid w:val="00B006D4"/>
    <w:rsid w:val="00B10C7F"/>
    <w:rsid w:val="00B27E6D"/>
    <w:rsid w:val="00B52725"/>
    <w:rsid w:val="00B54ED2"/>
    <w:rsid w:val="00B71B17"/>
    <w:rsid w:val="00B74FBF"/>
    <w:rsid w:val="00B76A6C"/>
    <w:rsid w:val="00B962D0"/>
    <w:rsid w:val="00B96997"/>
    <w:rsid w:val="00BA3403"/>
    <w:rsid w:val="00BC5586"/>
    <w:rsid w:val="00BE0D1C"/>
    <w:rsid w:val="00BE2F02"/>
    <w:rsid w:val="00C37ACB"/>
    <w:rsid w:val="00C6215C"/>
    <w:rsid w:val="00CB37E8"/>
    <w:rsid w:val="00CF6D42"/>
    <w:rsid w:val="00D17265"/>
    <w:rsid w:val="00D410AE"/>
    <w:rsid w:val="00D70EAF"/>
    <w:rsid w:val="00DA0832"/>
    <w:rsid w:val="00DB39C5"/>
    <w:rsid w:val="00DB461D"/>
    <w:rsid w:val="00DB5AB9"/>
    <w:rsid w:val="00DC4A6E"/>
    <w:rsid w:val="00DC4EC7"/>
    <w:rsid w:val="00DD3857"/>
    <w:rsid w:val="00DF2881"/>
    <w:rsid w:val="00E10BA9"/>
    <w:rsid w:val="00E30B7C"/>
    <w:rsid w:val="00E3674E"/>
    <w:rsid w:val="00E468E7"/>
    <w:rsid w:val="00E46AAE"/>
    <w:rsid w:val="00E65057"/>
    <w:rsid w:val="00E655B1"/>
    <w:rsid w:val="00E70DCA"/>
    <w:rsid w:val="00E87A67"/>
    <w:rsid w:val="00EA7AC2"/>
    <w:rsid w:val="00EF672F"/>
    <w:rsid w:val="00F06468"/>
    <w:rsid w:val="00F56B04"/>
    <w:rsid w:val="00F85198"/>
    <w:rsid w:val="00F90948"/>
    <w:rsid w:val="00FB0062"/>
    <w:rsid w:val="00FC2660"/>
    <w:rsid w:val="00FE3AEE"/>
    <w:rsid w:val="00FF773C"/>
    <w:rsid w:val="18909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14437"/>
  <w15:chartTrackingRefBased/>
  <w15:docId w15:val="{0D8BA9BA-A946-45E2-8BFA-445A8E6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character" w:customStyle="1" w:styleId="st1">
    <w:name w:val="st1"/>
    <w:rPr>
      <w:lang w:val="en-US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7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725"/>
    <w:rPr>
      <w:rFonts w:ascii="Lucida Grande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4CC5"/>
    <w:rPr>
      <w:sz w:val="24"/>
      <w:szCs w:val="24"/>
      <w:bdr w:val="nil"/>
      <w:lang w:val="en-US" w:eastAsia="en-US"/>
    </w:rPr>
  </w:style>
  <w:style w:type="paragraph" w:customStyle="1" w:styleId="body0">
    <w:name w:val="body"/>
    <w:basedOn w:val="Normal"/>
    <w:rsid w:val="00421D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421DDB"/>
  </w:style>
  <w:style w:type="paragraph" w:styleId="Revision">
    <w:name w:val="Revision"/>
    <w:hidden/>
    <w:uiPriority w:val="71"/>
    <w:rsid w:val="00CB37E8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4062-433D-47EE-8C51-B6182413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Livingston</dc:creator>
  <cp:keywords/>
  <cp:lastModifiedBy>Evi Jaman</cp:lastModifiedBy>
  <cp:revision>3</cp:revision>
  <cp:lastPrinted>2018-08-09T10:43:00Z</cp:lastPrinted>
  <dcterms:created xsi:type="dcterms:W3CDTF">2024-08-02T13:04:00Z</dcterms:created>
  <dcterms:modified xsi:type="dcterms:W3CDTF">2024-08-02T13:52:00Z</dcterms:modified>
</cp:coreProperties>
</file>