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8F54" w14:textId="257A08F4" w:rsidR="00005774" w:rsidRPr="00F360DC" w:rsidRDefault="009E4B79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John Daszak</w:t>
      </w:r>
    </w:p>
    <w:p w14:paraId="21859BF5" w14:textId="646EF681" w:rsidR="00745C63" w:rsidRPr="007D46EB" w:rsidRDefault="009E4B79" w:rsidP="007D46EB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Tenor</w:t>
      </w:r>
      <w:bookmarkEnd w:id="0"/>
      <w:bookmarkEnd w:id="1"/>
    </w:p>
    <w:p w14:paraId="4B14474D" w14:textId="77777777" w:rsidR="005B1545" w:rsidRDefault="005B1545" w:rsidP="003C3D1A">
      <w:pPr>
        <w:rPr>
          <w:rFonts w:ascii="Calibri" w:hAnsi="Calibri"/>
          <w:sz w:val="20"/>
          <w:szCs w:val="20"/>
        </w:rPr>
      </w:pPr>
    </w:p>
    <w:p w14:paraId="5852F4B6" w14:textId="4A516142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Renowned for both vocal versatility and</w:t>
      </w:r>
      <w:r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powerful 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dramatic </w:t>
      </w:r>
      <w:r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talent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 British tenor John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performs a diverse span of operatic roles on the world’s major stages with particularly strong ties to several works including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Wozzeck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Lady Macbeth of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Mtsensk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 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Khovanshchina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Billy Budd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Boris Godunov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Das Rheingold</w:t>
      </w:r>
      <w:r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and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Salome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.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has made many important debuts across his career</w:t>
      </w:r>
      <w:r w:rsidR="00D476E3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including at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Bayreuther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Festspiele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as Loge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Das Rheingold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 under Kirill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Petrenko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, at Berliner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Staatsoper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Unter den Linden as Tambour Major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Wozzeck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 under Daniel Barenboim, at Teatro alla Scala as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Peter Grimes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under the late Jeffrey Tate, at the Bolshoi Theatre as Sergei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Katarina Ismailova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 under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Tugan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Sokhiev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and at the Metropolitan Opera as Captain Vere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Billy Budd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 under David Robertson.</w:t>
      </w:r>
    </w:p>
    <w:p w14:paraId="0182DEF0" w14:textId="777777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</w:t>
      </w:r>
    </w:p>
    <w:p w14:paraId="14AF3F82" w14:textId="2F0CEC35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 frequent collaborator with many of today’s key conductors and directors, some of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Daszak’s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recent roles include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Alviano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Salvago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in Barrie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Kosky’s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staging of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Die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Gezeichneten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at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Opernhaus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Zürich under Vladimir Jurowski, Tambour Major in William Kentridge’s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Wozzeck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at both Salzburg Festival (Jurowski) and Opéra de Paris under Susanna Mälkki, Hindemith’s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Mathis der Maler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at Semperoper Dresden under Simone Young,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Grishka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Kuter’na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in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The Legend of the Invisible City of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Kitezh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at Dutch National Opera staged by Dimitri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Tcherniakov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and conducted by Marc Albrecht and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Zinovy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Ismailov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in Calixto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Bieito’s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production of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Lady Macbeth of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Mtsensk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at Grand Théâtre de Genève under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Alejo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Pérez. Following his role debut as Herod in David McVicar’s acclaimed staging of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Salome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at the Royal Opera House, Covent Garden under the baton of Henrik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Nánási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has continued to receive high acclaim for his portrayal of the role in new productions at Salzburg Festival under Franz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Welser-Möst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, at Festival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d’Aix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-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-Provence under Ingo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Metzmacher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, at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Opernhaus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Zürich under Erik Nielsen and at Opéra de Paris conducted by Simone Young. </w:t>
      </w:r>
    </w:p>
    <w:p w14:paraId="2224190C" w14:textId="777777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</w:t>
      </w:r>
    </w:p>
    <w:p w14:paraId="5DE1B6E3" w14:textId="777777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Other notable operatic roles include Kaufman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Jakob Lenz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 at Festival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d’Aix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-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en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-Provence (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Metzmacher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),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Aegisth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Elektra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 at the Royal Opera House, Covent Garden (Andris Nelsons),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Shuisky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Boris Godunov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 at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Opernhaus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Zürich (Kirill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Karabits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), Jimmy (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Aufstieg</w:t>
      </w:r>
      <w:proofErr w:type="spellEnd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 und Fall der Stadt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Mahagonny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 at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Komische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Oper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Berlin (Stefan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Blunier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), Gustav von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Aschenbach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Death in Venice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 at Teatro Real (Pérez), Prince Vasily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Golitsïn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(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Khovanshchina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 at Opéra de Paris (Hartmut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Haennchen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), Hauptmann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Wozzeck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 at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Theater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an der Wien (Leo Hussain),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Aleksej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The Gambler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 at Dutch National Opera (Albrecht) and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Skuratov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From the House of the Dead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 at Ruhr Triennale under Dennis Russel Davies. John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has long been a regular presence on the stage of Munich’s Bayerische Staatsoper where performances have included the title role of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Der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Zwerg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, Le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Lépreux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Saint François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d’Assise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), Die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Knusperhexe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Hänsel</w:t>
      </w:r>
      <w:proofErr w:type="spellEnd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 und Gretel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),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Alviano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Salvago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Die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Gezeichneten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), Prince Vasily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Golitsïn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and Tambour Major among many others. </w:t>
      </w:r>
    </w:p>
    <w:p w14:paraId="37321CA3" w14:textId="777777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</w:t>
      </w:r>
    </w:p>
    <w:p w14:paraId="1881663E" w14:textId="50D7D431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During the 2024/25 season John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appears in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Salome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in a new staging by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Kornél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Mundruczo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at Grand Théâtre de Genève conducted by Jukka-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Pekka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Saraste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and in a new setting of 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Kat’a</w:t>
      </w:r>
      <w:proofErr w:type="spellEnd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Kabanová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by Krzysztof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Warlikowski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at Bayerische Staatsoper under the baton of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Mirga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Gražinytė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-Tyla.  There are performances of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Elektra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at both Teatro di San Carlo and Staatsoper Hamburg conducted by Mark Elder and Kent Nagano</w:t>
      </w:r>
      <w:r w:rsidR="00D476E3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respectively, and he returns both to Teatro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dell’Opera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di Roma for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Il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prigioniero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in a staging by Calixto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Bieito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conducted by Michele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Mariotti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, and to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Opernhaus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Zürich as Herod under Simone Young. </w:t>
      </w:r>
    </w:p>
    <w:p w14:paraId="373C27E0" w14:textId="777777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</w:t>
      </w:r>
    </w:p>
    <w:p w14:paraId="19D27D91" w14:textId="777777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John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features on </w:t>
      </w:r>
      <w:proofErr w:type="gram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a number of</w:t>
      </w:r>
      <w:proofErr w:type="gram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DVD releases including Pfitzner’s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Palestrina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from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Bayerische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Staatsoper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(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EuroArts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), La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Fura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del Baus’ spectacular production of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Das Rheingold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from Valencia’s Palau de Les Arts (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Unitel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), Dutch National Opera’s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The Legend of 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lastRenderedPageBreak/>
        <w:t xml:space="preserve">the Invisible City of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Kitezh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(Opus Arte),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Death in Venice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from Teatro Real (Naxos) and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Salome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from Salzburg Festival (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Unitel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).</w:t>
      </w:r>
    </w:p>
    <w:p w14:paraId="3B27D833" w14:textId="777777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</w:t>
      </w:r>
    </w:p>
    <w:p w14:paraId="029E0309" w14:textId="45025E77" w:rsidR="004041CE" w:rsidRPr="004041CE" w:rsidRDefault="004041CE" w:rsidP="004041CE">
      <w:pPr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Beyond the operatic stage, 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Daszak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is a highly regarded concert performer. With a repertoire encompassing a wide range of masterpieces including</w:t>
      </w:r>
      <w:r w:rsidR="00D476E3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Janáček’s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</w:t>
      </w:r>
      <w:r w:rsidRPr="003C6F15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Glagolitic Mass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 Beethoven’s Symphony No.9 and Mahler’s Symphony No.8</w:t>
      </w:r>
      <w:r w:rsidR="00D476E3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he has collaborated with esteemed conductors and orchestras</w:t>
      </w:r>
      <w:r w:rsidR="00D476E3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,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including Donald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Runnicles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and BBC Scottish Symphony Orchestra, Vladimir Jurowski and London Philharmonic Orchestra and Thomas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Hengelbrock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and NDR Elbphilharmonie Orchestra. Concert highlights in recent seasons include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Salome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with Houston Symphony Orchestra conducted by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Juraj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Valčuha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and both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Jakob Lenz</w:t>
      </w:r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 with Le Balcon and </w:t>
      </w:r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 xml:space="preserve">Il </w:t>
      </w:r>
      <w:proofErr w:type="spellStart"/>
      <w:r w:rsidRPr="004041CE">
        <w:rPr>
          <w:rFonts w:ascii="Arial" w:eastAsia="Times New Roman" w:hAnsi="Arial" w:cs="Arial"/>
          <w:i/>
          <w:iCs/>
          <w:color w:val="212121"/>
          <w:kern w:val="0"/>
          <w:sz w:val="20"/>
          <w:szCs w:val="20"/>
          <w:lang w:eastAsia="en-GB"/>
          <w14:ligatures w14:val="none"/>
        </w:rPr>
        <w:t>prigioniero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 with the Radio </w:t>
      </w:r>
      <w:proofErr w:type="spellStart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>Symphonieorchester</w:t>
      </w:r>
      <w:proofErr w:type="spellEnd"/>
      <w:r w:rsidRPr="004041CE">
        <w:rPr>
          <w:rFonts w:ascii="Arial" w:eastAsia="Times New Roman" w:hAnsi="Arial" w:cs="Arial"/>
          <w:color w:val="212121"/>
          <w:kern w:val="0"/>
          <w:sz w:val="20"/>
          <w:szCs w:val="20"/>
          <w:lang w:eastAsia="en-GB"/>
          <w14:ligatures w14:val="none"/>
        </w:rPr>
        <w:t xml:space="preserve"> Wien under the baton of Maxime Pascal at Salzburg Festival.</w:t>
      </w:r>
    </w:p>
    <w:p w14:paraId="02E70FF8" w14:textId="77777777" w:rsidR="004041CE" w:rsidRPr="004041CE" w:rsidRDefault="004041CE" w:rsidP="004041CE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152E801" w14:textId="77777777" w:rsidR="006E448C" w:rsidRPr="009468C0" w:rsidRDefault="006E448C" w:rsidP="004041CE">
      <w:pPr>
        <w:rPr>
          <w:rFonts w:ascii="Arial" w:hAnsi="Arial" w:cs="Arial"/>
          <w:sz w:val="20"/>
          <w:szCs w:val="20"/>
        </w:rPr>
      </w:pPr>
    </w:p>
    <w:p w14:paraId="465BA447" w14:textId="77777777" w:rsidR="00520461" w:rsidRDefault="00520461" w:rsidP="003C3D1A">
      <w:pPr>
        <w:rPr>
          <w:rFonts w:ascii="Calibri" w:hAnsi="Calibri"/>
          <w:sz w:val="20"/>
          <w:szCs w:val="20"/>
        </w:rPr>
      </w:pPr>
    </w:p>
    <w:p w14:paraId="4F766C3E" w14:textId="77777777" w:rsidR="007B1E4E" w:rsidRDefault="007B1E4E" w:rsidP="003C3D1A">
      <w:pPr>
        <w:rPr>
          <w:rFonts w:ascii="Calibri" w:hAnsi="Calibri"/>
          <w:sz w:val="20"/>
          <w:szCs w:val="20"/>
        </w:rPr>
      </w:pPr>
    </w:p>
    <w:p w14:paraId="208B0917" w14:textId="77777777" w:rsidR="007B1E4E" w:rsidRDefault="007B1E4E" w:rsidP="003C3D1A">
      <w:pPr>
        <w:rPr>
          <w:rFonts w:ascii="Calibri" w:hAnsi="Calibri"/>
          <w:sz w:val="20"/>
          <w:szCs w:val="20"/>
        </w:rPr>
      </w:pPr>
    </w:p>
    <w:p w14:paraId="41374974" w14:textId="77777777" w:rsidR="007B1E4E" w:rsidRPr="00522D4A" w:rsidRDefault="007B1E4E" w:rsidP="003C3D1A">
      <w:pPr>
        <w:rPr>
          <w:rFonts w:ascii="Calibri" w:hAnsi="Calibri"/>
          <w:sz w:val="20"/>
          <w:szCs w:val="20"/>
        </w:rPr>
      </w:pPr>
    </w:p>
    <w:sectPr w:rsidR="007B1E4E" w:rsidRPr="00522D4A" w:rsidSect="00005774">
      <w:headerReference w:type="default" r:id="rId7"/>
      <w:footerReference w:type="default" r:id="rId8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C8942" w14:textId="77777777" w:rsidR="002720D7" w:rsidRDefault="002720D7" w:rsidP="00005774">
      <w:r>
        <w:separator/>
      </w:r>
    </w:p>
  </w:endnote>
  <w:endnote w:type="continuationSeparator" w:id="0">
    <w:p w14:paraId="4D56F407" w14:textId="77777777" w:rsidR="002720D7" w:rsidRDefault="002720D7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34C" w14:textId="21A5E3E1" w:rsidR="00F360DC" w:rsidRPr="004512EC" w:rsidRDefault="00751817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0D324D">
      <w:rPr>
        <w:rFonts w:ascii="Arial" w:hAnsi="Arial" w:cs="Arial"/>
        <w:sz w:val="20"/>
        <w:szCs w:val="20"/>
      </w:rPr>
      <w:t>3</w:t>
    </w:r>
    <w:r w:rsidR="009E4B79">
      <w:rPr>
        <w:rFonts w:ascii="Arial" w:hAnsi="Arial" w:cs="Arial"/>
        <w:sz w:val="20"/>
        <w:szCs w:val="20"/>
      </w:rPr>
      <w:t>/2</w:t>
    </w:r>
    <w:r w:rsidR="000D324D">
      <w:rPr>
        <w:rFonts w:ascii="Arial" w:hAnsi="Arial" w:cs="Arial"/>
        <w:sz w:val="20"/>
        <w:szCs w:val="20"/>
      </w:rPr>
      <w:t>4</w:t>
    </w:r>
    <w:r w:rsidR="00F360DC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F360DC" w:rsidRPr="004512EC">
      <w:rPr>
        <w:rFonts w:ascii="Arial" w:hAnsi="Arial" w:cs="Arial"/>
        <w:sz w:val="20"/>
        <w:szCs w:val="20"/>
      </w:rPr>
      <w:t>HarrisonParrott</w:t>
    </w:r>
    <w:proofErr w:type="spellEnd"/>
    <w:r w:rsidR="00F360DC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F360DC" w:rsidRDefault="00F36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3D46" w14:textId="77777777" w:rsidR="002720D7" w:rsidRDefault="002720D7" w:rsidP="00005774">
      <w:r>
        <w:separator/>
      </w:r>
    </w:p>
  </w:footnote>
  <w:footnote w:type="continuationSeparator" w:id="0">
    <w:p w14:paraId="03D337A2" w14:textId="77777777" w:rsidR="002720D7" w:rsidRDefault="002720D7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90B2" w14:textId="77777777" w:rsidR="00F360DC" w:rsidRPr="00005774" w:rsidRDefault="00F360DC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4178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22CAF"/>
    <w:rsid w:val="00031239"/>
    <w:rsid w:val="00046A94"/>
    <w:rsid w:val="00053470"/>
    <w:rsid w:val="00055C2D"/>
    <w:rsid w:val="00066888"/>
    <w:rsid w:val="00070F5D"/>
    <w:rsid w:val="00075069"/>
    <w:rsid w:val="00076C16"/>
    <w:rsid w:val="000A34A5"/>
    <w:rsid w:val="000A60EA"/>
    <w:rsid w:val="000B3CAC"/>
    <w:rsid w:val="000B3DF3"/>
    <w:rsid w:val="000C7010"/>
    <w:rsid w:val="000D324D"/>
    <w:rsid w:val="00101FEE"/>
    <w:rsid w:val="00111ADB"/>
    <w:rsid w:val="001220DC"/>
    <w:rsid w:val="00152FC3"/>
    <w:rsid w:val="001654E3"/>
    <w:rsid w:val="00175D65"/>
    <w:rsid w:val="0018000D"/>
    <w:rsid w:val="0018704D"/>
    <w:rsid w:val="001922AE"/>
    <w:rsid w:val="001F125D"/>
    <w:rsid w:val="001F3921"/>
    <w:rsid w:val="00206549"/>
    <w:rsid w:val="0022134D"/>
    <w:rsid w:val="0022349E"/>
    <w:rsid w:val="0022689F"/>
    <w:rsid w:val="002335BA"/>
    <w:rsid w:val="002342EE"/>
    <w:rsid w:val="002403A7"/>
    <w:rsid w:val="00252BF6"/>
    <w:rsid w:val="00253409"/>
    <w:rsid w:val="0025591C"/>
    <w:rsid w:val="0026223E"/>
    <w:rsid w:val="00263920"/>
    <w:rsid w:val="002720D7"/>
    <w:rsid w:val="00276AD2"/>
    <w:rsid w:val="002814E8"/>
    <w:rsid w:val="002945F9"/>
    <w:rsid w:val="002A777A"/>
    <w:rsid w:val="002B3590"/>
    <w:rsid w:val="002D734B"/>
    <w:rsid w:val="002E3706"/>
    <w:rsid w:val="00316442"/>
    <w:rsid w:val="00332294"/>
    <w:rsid w:val="00337254"/>
    <w:rsid w:val="003443EC"/>
    <w:rsid w:val="00344E4D"/>
    <w:rsid w:val="00354B59"/>
    <w:rsid w:val="0036335E"/>
    <w:rsid w:val="003653C0"/>
    <w:rsid w:val="00371F6A"/>
    <w:rsid w:val="003A4D57"/>
    <w:rsid w:val="003B25A3"/>
    <w:rsid w:val="003B3333"/>
    <w:rsid w:val="003C3D1A"/>
    <w:rsid w:val="003C6F15"/>
    <w:rsid w:val="004041CE"/>
    <w:rsid w:val="00421CE6"/>
    <w:rsid w:val="00436BB5"/>
    <w:rsid w:val="00441695"/>
    <w:rsid w:val="00442894"/>
    <w:rsid w:val="004512EC"/>
    <w:rsid w:val="00451939"/>
    <w:rsid w:val="00475420"/>
    <w:rsid w:val="0048648F"/>
    <w:rsid w:val="004976B5"/>
    <w:rsid w:val="004A2BD9"/>
    <w:rsid w:val="004A3603"/>
    <w:rsid w:val="004A4048"/>
    <w:rsid w:val="004A5AD7"/>
    <w:rsid w:val="004A65E0"/>
    <w:rsid w:val="004B23CA"/>
    <w:rsid w:val="004C2C32"/>
    <w:rsid w:val="004C587F"/>
    <w:rsid w:val="004D0DAD"/>
    <w:rsid w:val="004D0EC9"/>
    <w:rsid w:val="004D53D5"/>
    <w:rsid w:val="004D6B85"/>
    <w:rsid w:val="004E554C"/>
    <w:rsid w:val="004E63FF"/>
    <w:rsid w:val="004F70B8"/>
    <w:rsid w:val="00515F21"/>
    <w:rsid w:val="0052006F"/>
    <w:rsid w:val="00520461"/>
    <w:rsid w:val="00522D4A"/>
    <w:rsid w:val="00523985"/>
    <w:rsid w:val="00534438"/>
    <w:rsid w:val="00550BE0"/>
    <w:rsid w:val="005567E7"/>
    <w:rsid w:val="00560E87"/>
    <w:rsid w:val="005663C4"/>
    <w:rsid w:val="00567C94"/>
    <w:rsid w:val="00570F59"/>
    <w:rsid w:val="0058620E"/>
    <w:rsid w:val="005A24CE"/>
    <w:rsid w:val="005A742F"/>
    <w:rsid w:val="005B1545"/>
    <w:rsid w:val="005B7BE9"/>
    <w:rsid w:val="005C458A"/>
    <w:rsid w:val="005E46BF"/>
    <w:rsid w:val="005F04E2"/>
    <w:rsid w:val="00604480"/>
    <w:rsid w:val="00605AEF"/>
    <w:rsid w:val="00616614"/>
    <w:rsid w:val="00637D7B"/>
    <w:rsid w:val="00664F6A"/>
    <w:rsid w:val="00672832"/>
    <w:rsid w:val="00675B2B"/>
    <w:rsid w:val="00680CCC"/>
    <w:rsid w:val="006840C4"/>
    <w:rsid w:val="00691509"/>
    <w:rsid w:val="00693333"/>
    <w:rsid w:val="006A102E"/>
    <w:rsid w:val="006A21E6"/>
    <w:rsid w:val="006A676F"/>
    <w:rsid w:val="006B0B3D"/>
    <w:rsid w:val="006B6466"/>
    <w:rsid w:val="006C0DF4"/>
    <w:rsid w:val="006C65A3"/>
    <w:rsid w:val="006D24A0"/>
    <w:rsid w:val="006E0C6C"/>
    <w:rsid w:val="006E448C"/>
    <w:rsid w:val="006E7E54"/>
    <w:rsid w:val="006F07FB"/>
    <w:rsid w:val="007046EA"/>
    <w:rsid w:val="00710961"/>
    <w:rsid w:val="00712D60"/>
    <w:rsid w:val="0072537E"/>
    <w:rsid w:val="00731824"/>
    <w:rsid w:val="0073662F"/>
    <w:rsid w:val="00737BE4"/>
    <w:rsid w:val="00745C63"/>
    <w:rsid w:val="007466F9"/>
    <w:rsid w:val="00751817"/>
    <w:rsid w:val="00762DD8"/>
    <w:rsid w:val="00767A34"/>
    <w:rsid w:val="00772857"/>
    <w:rsid w:val="007755CC"/>
    <w:rsid w:val="00776126"/>
    <w:rsid w:val="007830EB"/>
    <w:rsid w:val="007937B2"/>
    <w:rsid w:val="007B1E4E"/>
    <w:rsid w:val="007B461D"/>
    <w:rsid w:val="007C69CF"/>
    <w:rsid w:val="007C75C6"/>
    <w:rsid w:val="007D3148"/>
    <w:rsid w:val="007D46EB"/>
    <w:rsid w:val="007F2A08"/>
    <w:rsid w:val="008176F9"/>
    <w:rsid w:val="00821C4D"/>
    <w:rsid w:val="00837A4A"/>
    <w:rsid w:val="008644C1"/>
    <w:rsid w:val="00886F8F"/>
    <w:rsid w:val="0089037B"/>
    <w:rsid w:val="008B674D"/>
    <w:rsid w:val="008C1784"/>
    <w:rsid w:val="008D21FD"/>
    <w:rsid w:val="008E5027"/>
    <w:rsid w:val="008E69FC"/>
    <w:rsid w:val="008F4C8D"/>
    <w:rsid w:val="0090452E"/>
    <w:rsid w:val="009147AA"/>
    <w:rsid w:val="00917DB2"/>
    <w:rsid w:val="00921F98"/>
    <w:rsid w:val="00944C08"/>
    <w:rsid w:val="00961C7D"/>
    <w:rsid w:val="009753B8"/>
    <w:rsid w:val="0097588E"/>
    <w:rsid w:val="009A021B"/>
    <w:rsid w:val="009A54BD"/>
    <w:rsid w:val="009A5C1B"/>
    <w:rsid w:val="009C2271"/>
    <w:rsid w:val="009C4FB5"/>
    <w:rsid w:val="009D18DD"/>
    <w:rsid w:val="009D3823"/>
    <w:rsid w:val="009D3C52"/>
    <w:rsid w:val="009E4B79"/>
    <w:rsid w:val="009F1951"/>
    <w:rsid w:val="009F7106"/>
    <w:rsid w:val="00A2384A"/>
    <w:rsid w:val="00A24D41"/>
    <w:rsid w:val="00A32D1C"/>
    <w:rsid w:val="00A32FCA"/>
    <w:rsid w:val="00A35409"/>
    <w:rsid w:val="00A43454"/>
    <w:rsid w:val="00A5237E"/>
    <w:rsid w:val="00A546DA"/>
    <w:rsid w:val="00A74052"/>
    <w:rsid w:val="00A94BC8"/>
    <w:rsid w:val="00AD2704"/>
    <w:rsid w:val="00AD2E48"/>
    <w:rsid w:val="00AE4F6F"/>
    <w:rsid w:val="00AE7071"/>
    <w:rsid w:val="00AF3A4C"/>
    <w:rsid w:val="00B12AA3"/>
    <w:rsid w:val="00B2581E"/>
    <w:rsid w:val="00B30EC0"/>
    <w:rsid w:val="00B35689"/>
    <w:rsid w:val="00B403B7"/>
    <w:rsid w:val="00B44D7F"/>
    <w:rsid w:val="00B66748"/>
    <w:rsid w:val="00B801FB"/>
    <w:rsid w:val="00B80A57"/>
    <w:rsid w:val="00BA67E7"/>
    <w:rsid w:val="00BA7513"/>
    <w:rsid w:val="00BA7B34"/>
    <w:rsid w:val="00BB55F7"/>
    <w:rsid w:val="00BB58ED"/>
    <w:rsid w:val="00BC211D"/>
    <w:rsid w:val="00BE6C0A"/>
    <w:rsid w:val="00BF31E2"/>
    <w:rsid w:val="00C00D2E"/>
    <w:rsid w:val="00C20264"/>
    <w:rsid w:val="00C2584C"/>
    <w:rsid w:val="00C330A6"/>
    <w:rsid w:val="00C44CBC"/>
    <w:rsid w:val="00C46338"/>
    <w:rsid w:val="00C5324C"/>
    <w:rsid w:val="00C54FBE"/>
    <w:rsid w:val="00C626FA"/>
    <w:rsid w:val="00C6596F"/>
    <w:rsid w:val="00C65B19"/>
    <w:rsid w:val="00C735B8"/>
    <w:rsid w:val="00CA7CB0"/>
    <w:rsid w:val="00CC72E2"/>
    <w:rsid w:val="00CD30D7"/>
    <w:rsid w:val="00CE01EC"/>
    <w:rsid w:val="00CF0F37"/>
    <w:rsid w:val="00D005F4"/>
    <w:rsid w:val="00D01F15"/>
    <w:rsid w:val="00D12751"/>
    <w:rsid w:val="00D1382F"/>
    <w:rsid w:val="00D16B37"/>
    <w:rsid w:val="00D32EDD"/>
    <w:rsid w:val="00D375D4"/>
    <w:rsid w:val="00D44C25"/>
    <w:rsid w:val="00D476E3"/>
    <w:rsid w:val="00D6194B"/>
    <w:rsid w:val="00D63540"/>
    <w:rsid w:val="00D66338"/>
    <w:rsid w:val="00D717FC"/>
    <w:rsid w:val="00D74EA8"/>
    <w:rsid w:val="00DB1A8D"/>
    <w:rsid w:val="00DC0594"/>
    <w:rsid w:val="00DC43DD"/>
    <w:rsid w:val="00DE26B1"/>
    <w:rsid w:val="00DF1222"/>
    <w:rsid w:val="00DF152C"/>
    <w:rsid w:val="00E03B3C"/>
    <w:rsid w:val="00E1742D"/>
    <w:rsid w:val="00E30BA7"/>
    <w:rsid w:val="00E30E49"/>
    <w:rsid w:val="00E46D64"/>
    <w:rsid w:val="00E67302"/>
    <w:rsid w:val="00E80A31"/>
    <w:rsid w:val="00E81CA5"/>
    <w:rsid w:val="00E92633"/>
    <w:rsid w:val="00E94D5B"/>
    <w:rsid w:val="00EB559D"/>
    <w:rsid w:val="00EE29F0"/>
    <w:rsid w:val="00EF20B9"/>
    <w:rsid w:val="00EF4D2D"/>
    <w:rsid w:val="00F112DE"/>
    <w:rsid w:val="00F12675"/>
    <w:rsid w:val="00F12C4A"/>
    <w:rsid w:val="00F166AE"/>
    <w:rsid w:val="00F3312E"/>
    <w:rsid w:val="00F3321B"/>
    <w:rsid w:val="00F360DC"/>
    <w:rsid w:val="00F44818"/>
    <w:rsid w:val="00F518B8"/>
    <w:rsid w:val="00F72013"/>
    <w:rsid w:val="00F729BC"/>
    <w:rsid w:val="00F8399F"/>
    <w:rsid w:val="00F83E89"/>
    <w:rsid w:val="00F8792F"/>
    <w:rsid w:val="00FA3498"/>
    <w:rsid w:val="00FD3D40"/>
    <w:rsid w:val="00FD3EA8"/>
    <w:rsid w:val="00FE20E3"/>
    <w:rsid w:val="00FE76C9"/>
    <w:rsid w:val="00FF3047"/>
    <w:rsid w:val="00FF4408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BBEFADEC-E17E-4E8A-B3B3-46A72F7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4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237E"/>
    <w:rPr>
      <w:i/>
      <w:iCs/>
    </w:rPr>
  </w:style>
  <w:style w:type="character" w:customStyle="1" w:styleId="apple-converted-space">
    <w:name w:val="apple-converted-space"/>
    <w:basedOn w:val="DefaultParagraphFont"/>
    <w:rsid w:val="003C3D1A"/>
  </w:style>
  <w:style w:type="paragraph" w:styleId="Revision">
    <w:name w:val="Revision"/>
    <w:hidden/>
    <w:uiPriority w:val="71"/>
    <w:semiHidden/>
    <w:rsid w:val="00D32EDD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0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BA7"/>
    <w:rPr>
      <w:rFonts w:ascii="Cambria" w:eastAsia="MS Mincho" w:hAnsi="Cambria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BA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BA7"/>
    <w:rPr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BA6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4636</CharactersWithSpaces>
  <SharedDoc>false</SharedDoc>
  <HLinks>
    <vt:vector size="6" baseType="variant">
      <vt:variant>
        <vt:i4>6750320</vt:i4>
      </vt:variant>
      <vt:variant>
        <vt:i4>-1</vt:i4>
      </vt:variant>
      <vt:variant>
        <vt:i4>2051</vt:i4>
      </vt:variant>
      <vt:variant>
        <vt:i4>1</vt:i4>
      </vt:variant>
      <vt:variant>
        <vt:lpwstr>MasterLogo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Evi Jaman</cp:lastModifiedBy>
  <cp:revision>2</cp:revision>
  <cp:lastPrinted>2021-06-18T11:04:00Z</cp:lastPrinted>
  <dcterms:created xsi:type="dcterms:W3CDTF">2024-07-29T14:13:00Z</dcterms:created>
  <dcterms:modified xsi:type="dcterms:W3CDTF">2024-07-29T14:13:00Z</dcterms:modified>
</cp:coreProperties>
</file>